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07E" w:rsidRPr="00EA2C87" w:rsidRDefault="00EA2C87" w:rsidP="00EA2C87">
      <w:pPr>
        <w:spacing w:after="0" w:line="240" w:lineRule="auto"/>
        <w:jc w:val="center"/>
        <w:rPr>
          <w:rFonts w:eastAsia="Times New Roman" w:cs="Times New Roman"/>
          <w:b/>
          <w:color w:val="000000"/>
          <w:sz w:val="28"/>
          <w:lang w:val="en-US"/>
        </w:rPr>
      </w:pPr>
      <w:r w:rsidRPr="00EA2C87">
        <w:rPr>
          <w:rFonts w:eastAsia="Times New Roman" w:cs="Times New Roman"/>
          <w:b/>
          <w:color w:val="000000"/>
          <w:sz w:val="28"/>
          <w:lang w:val="en-US"/>
        </w:rPr>
        <w:t>Congenital diaphragmatic hernia in the era of the TOTAL trial</w:t>
      </w:r>
    </w:p>
    <w:p w:rsidR="00B1107E" w:rsidRPr="00351808" w:rsidRDefault="00B1107E" w:rsidP="00B1107E">
      <w:pPr>
        <w:rPr>
          <w:vertAlign w:val="superscript"/>
        </w:rPr>
      </w:pPr>
      <w:r>
        <w:t>Ioana Dragan</w:t>
      </w:r>
      <w:r>
        <w:rPr>
          <w:vertAlign w:val="superscript"/>
        </w:rPr>
        <w:t>1</w:t>
      </w:r>
      <w:r>
        <w:t xml:space="preserve">, </w:t>
      </w:r>
      <w:r w:rsidR="00EA2C87">
        <w:t>Dana Oprescu</w:t>
      </w:r>
      <w:r w:rsidR="00EA2C87">
        <w:rPr>
          <w:vertAlign w:val="superscript"/>
        </w:rPr>
        <w:t>2</w:t>
      </w:r>
      <w:r w:rsidR="00EA2C87">
        <w:t xml:space="preserve">, </w:t>
      </w:r>
      <w:r w:rsidR="00351808">
        <w:t>Nicolae Suciu</w:t>
      </w:r>
      <w:r w:rsidR="00351808">
        <w:rPr>
          <w:vertAlign w:val="superscript"/>
        </w:rPr>
        <w:t>2</w:t>
      </w:r>
    </w:p>
    <w:p w:rsidR="00B1107E" w:rsidRPr="00C92183" w:rsidRDefault="00B1107E" w:rsidP="00B1107E">
      <w:pPr>
        <w:spacing w:after="0" w:line="240" w:lineRule="auto"/>
        <w:rPr>
          <w:rFonts w:eastAsia="Times New Roman" w:cs="Times New Roman"/>
          <w:color w:val="000000"/>
          <w:lang w:val="en-US"/>
        </w:rPr>
      </w:pPr>
      <w:proofErr w:type="gramStart"/>
      <w:r>
        <w:rPr>
          <w:rFonts w:eastAsia="Times New Roman" w:cs="Times New Roman"/>
          <w:color w:val="000000"/>
          <w:lang w:val="en-US"/>
        </w:rPr>
        <w:t xml:space="preserve">1  </w:t>
      </w:r>
      <w:r w:rsidRPr="00C92183">
        <w:rPr>
          <w:rFonts w:eastAsia="Times New Roman" w:cs="Times New Roman"/>
          <w:color w:val="000000"/>
          <w:lang w:val="en-US"/>
        </w:rPr>
        <w:t>Kings</w:t>
      </w:r>
      <w:proofErr w:type="gramEnd"/>
      <w:r w:rsidRPr="00C92183">
        <w:rPr>
          <w:rFonts w:eastAsia="Times New Roman" w:cs="Times New Roman"/>
          <w:color w:val="000000"/>
          <w:lang w:val="en-US"/>
        </w:rPr>
        <w:t xml:space="preserve"> College Hospital</w:t>
      </w:r>
      <w:r>
        <w:rPr>
          <w:rFonts w:eastAsia="Times New Roman" w:cs="Times New Roman"/>
          <w:color w:val="000000"/>
          <w:lang w:val="en-US"/>
        </w:rPr>
        <w:t>, London, UK</w:t>
      </w:r>
    </w:p>
    <w:p w:rsidR="00351808" w:rsidRDefault="00EA2C87">
      <w:pPr>
        <w:rPr>
          <w:lang w:val="en-US"/>
        </w:rPr>
      </w:pPr>
      <w:proofErr w:type="gramStart"/>
      <w:r>
        <w:rPr>
          <w:lang w:val="en-US"/>
        </w:rPr>
        <w:t>2  Spitalul</w:t>
      </w:r>
      <w:proofErr w:type="gramEnd"/>
      <w:r>
        <w:rPr>
          <w:lang w:val="en-US"/>
        </w:rPr>
        <w:t xml:space="preserve"> Polizu, Bucuresti</w:t>
      </w:r>
    </w:p>
    <w:p w:rsidR="00EA2C87" w:rsidRDefault="00EA2C87">
      <w:pPr>
        <w:rPr>
          <w:lang w:val="en-US"/>
        </w:rPr>
      </w:pPr>
    </w:p>
    <w:p w:rsidR="00EA2C87" w:rsidRPr="00EA2C87" w:rsidRDefault="00EA2C87" w:rsidP="00EA2C87">
      <w:pPr>
        <w:rPr>
          <w:lang w:val="en-US"/>
        </w:rPr>
      </w:pPr>
      <w:r w:rsidRPr="00EA2C87">
        <w:rPr>
          <w:lang w:val="en-US"/>
        </w:rPr>
        <w:t xml:space="preserve">Congenital diaphragmatic hernia is a rare condition that occurs in 1 in 3000 live births. Pe tala diagnosis can be achieved with high accuracy during the second trimester anomaly scan.  Severe forms of CDH are associated with a bad neonatal prognosis which is mainly due to the decrease lung volume and poor pulmonary vascularisation. </w:t>
      </w:r>
    </w:p>
    <w:p w:rsidR="00EA2C87" w:rsidRPr="00EA2C87" w:rsidRDefault="00EA2C87" w:rsidP="00EA2C87">
      <w:pPr>
        <w:rPr>
          <w:lang w:val="en-US"/>
        </w:rPr>
      </w:pPr>
      <w:r w:rsidRPr="00EA2C87">
        <w:rPr>
          <w:lang w:val="en-US"/>
        </w:rPr>
        <w:t xml:space="preserve">Fetal endoscopic tracheal occlusion (FETO) has been shown to improve the prognosis of left severe congenital diaphragmatic hernia and also for the righ </w:t>
      </w:r>
      <w:proofErr w:type="gramStart"/>
      <w:r w:rsidRPr="00EA2C87">
        <w:rPr>
          <w:lang w:val="en-US"/>
        </w:rPr>
        <w:t>sided</w:t>
      </w:r>
      <w:proofErr w:type="gramEnd"/>
      <w:r w:rsidRPr="00EA2C87">
        <w:rPr>
          <w:lang w:val="en-US"/>
        </w:rPr>
        <w:t xml:space="preserve"> lesions. For left moderate congenital diaphragmatic hernia the randomisation in the TOTAL trial is still ongoing and it remains to be seen weather an expectant management versus fetal intervention is associate with a better prognosis. </w:t>
      </w:r>
    </w:p>
    <w:p w:rsidR="00EA2C87" w:rsidRPr="00EA2C87" w:rsidRDefault="00EA2C87" w:rsidP="00EA2C87">
      <w:pPr>
        <w:rPr>
          <w:lang w:val="en-US"/>
        </w:rPr>
      </w:pPr>
      <w:r w:rsidRPr="00EA2C87">
        <w:rPr>
          <w:lang w:val="en-US"/>
        </w:rPr>
        <w:t xml:space="preserve">It is important however </w:t>
      </w:r>
      <w:proofErr w:type="gramStart"/>
      <w:r w:rsidRPr="00EA2C87">
        <w:rPr>
          <w:lang w:val="en-US"/>
        </w:rPr>
        <w:t>to</w:t>
      </w:r>
      <w:proofErr w:type="gramEnd"/>
      <w:r w:rsidRPr="00EA2C87">
        <w:rPr>
          <w:lang w:val="en-US"/>
        </w:rPr>
        <w:t xml:space="preserve"> properly asses each case, to determine the need for fetal intervention by discussing with the parents the benefits and also the complications that can arise from such complex intervention. </w:t>
      </w:r>
    </w:p>
    <w:p w:rsidR="00B1107E" w:rsidRPr="00B1107E" w:rsidRDefault="00EA2C87" w:rsidP="00EA2C87">
      <w:pPr>
        <w:rPr>
          <w:lang w:val="en-US"/>
        </w:rPr>
      </w:pPr>
      <w:r w:rsidRPr="00EA2C87">
        <w:rPr>
          <w:lang w:val="en-US"/>
        </w:rPr>
        <w:t>Awareness need to be made in the community of perinatologist to refer the patients at the correct time in gestation and a network of fetal medicine-fetal surgeons-paediatric surgeons needs to be created in order of the outcome to improve in such cases.</w:t>
      </w:r>
    </w:p>
    <w:sectPr w:rsidR="00B1107E" w:rsidRPr="00B1107E"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B1107E"/>
    <w:rsid w:val="00172815"/>
    <w:rsid w:val="00206D8F"/>
    <w:rsid w:val="002358FA"/>
    <w:rsid w:val="00291FEF"/>
    <w:rsid w:val="00351808"/>
    <w:rsid w:val="0036114D"/>
    <w:rsid w:val="00421ECB"/>
    <w:rsid w:val="0070372B"/>
    <w:rsid w:val="008E0D2C"/>
    <w:rsid w:val="00A400C1"/>
    <w:rsid w:val="00AD23FC"/>
    <w:rsid w:val="00B1107E"/>
    <w:rsid w:val="00D10F22"/>
    <w:rsid w:val="00D51A90"/>
    <w:rsid w:val="00DB6552"/>
    <w:rsid w:val="00E47B49"/>
    <w:rsid w:val="00EA2C87"/>
    <w:rsid w:val="00F171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07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013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4</cp:revision>
  <dcterms:created xsi:type="dcterms:W3CDTF">2016-10-12T11:54:00Z</dcterms:created>
  <dcterms:modified xsi:type="dcterms:W3CDTF">2016-10-12T11:57:00Z</dcterms:modified>
</cp:coreProperties>
</file>